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80013840931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ARCHITETTI P.P.C. PROVINCIA DI PORDENONE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Friuli-Venezia Giulia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MONICA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PASE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Consigliere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dell'Ordine Architetti PPC di Pordenone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29/06/2021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>Il codice di comportamento è stato adottato nel 2016 ed è stato aggiornato almeno una volta dopo la sua prima adozione.</w:t>
        <w:br/>
        <w:t>Il codice contiene le seguenti disposizioni ulteriori a quelle del D.P.R. n.62/2013:</w:t>
        <w:br/>
        <w:t xml:space="preserve">  - le caratteristiche specifiche dell’ente</w:t>
        <w:br/>
        <w:t xml:space="preserve">  - i comportamenti che derivano dal profilo di rischio specifico dell'ente, individuato a seguito della messa in atto del processo di gestione del rischio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la formazione e sensibilizzazione sui contenuti del codice</w:t>
        <w:br/>
        <w:t xml:space="preserve">  - controlli e verifiche sull'attuazione del Codice di Comportamento</w:t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L'Ordine è dotato di un dipendente a tempo pieno e un dipendente part time e di conseguenza non è fattibile la rotazione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15A4FFA0" w14:textId="5CCB50DE" w:rsidP="00B608A5" w:rsidR="00076B3D" w:rsidRDefault="00076B3D">
      <w:r>
        <w:t/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 xml:space="preserve">Le misure in materia di conflitto di interessi non sono state programmate nel PTPCT o nella sezione Anticorruzione e Trasparenza del PIAO in esame o, laddove siano state già adottate negli anni precedenti, non si prevede di realizzare interventi correttivi o ad esse collegati, per le seguenti motivazioni: </w:t>
        <w:br/>
        <w:t>Ci si avvale del Regolamento recante codice di comportamento dei dipendenti, collaboratori e consulenti</w:t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</w:r>
    </w:p>
    <w:p w14:paraId="6F3E9DBB" w14:textId="4793980D" w:rsidP="00354388" w:rsidR="009B6C9E" w:rsidRDefault="009B6C9E">
      <w:r>
        <w:t/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solo gli altri soggetti assimilati a dipendenti pubblici.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temi dell’etica e dell'integrità del funzionario pubblico</w:t>
        <w:br/>
        <w:t xml:space="preserve">    - RPCT per un numero medio di ore 8</w:t>
        <w:br/>
        <w:t xml:space="preserve">    - Referenti per un numero medio di ore8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frontale</w:t>
        <w:br/>
        <w:t/>
        <w:br/>
        <w:t>Per ogni corso di formazione erogato, sono stati somministrati ai partecipanti presenti dei questionari finalizzati a misurare il loro livello di gradimento.</w:t>
        <w:br/>
        <w:t>Tuttavia, i corsi di formazione successivi non sono stati programmati in funzione dei feedback ottenuti.</w:t>
        <w:br/>
        <w:t/>
        <w:br/>
        <w:t>La formazione è stata affidata a soggetti esterni in dettaglio:</w:t>
        <w:br/>
        <w:t xml:space="preserve">  - Comitato Unitario Permanente delle Professioni di Pordenone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annuale.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 xml:space="preserve">Nell’anno di riferimento del PTPCT o della sezione Anticorruzione e Trasparenza del PIAO sono pervenute: </w:t>
        <w:br/>
        <w:t xml:space="preserve">  - 1 richieste con “informazione fornita all'utente”</w:t>
        <w:br/>
        <w:t xml:space="preserve">  - 0 richieste con “informazione non fornita all'utente”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Si riscontra che l'adempimento degli obblighi di trasparenza è buono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/>
      </w:r>
    </w:p>
    <w:p w14:paraId="6B2259BB" w14:textId="1F4C625A" w:rsidP="00B33A5B" w:rsidR="00C84FCB" w:rsidRDefault="00C84FC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  <w:br/>
        <w:t xml:space="preserve">Non sono state ancora avviate le attività e non saranno avviate nei tempi previsti dal PTPCT o dalla sezione Anticorruzione e Trasparenza del PIAO per le seguenti motivazioni: </w:t>
        <w:br/>
        <w:t xml:space="preserve">  - carenza di personale</w:t>
        <w:br/>
        <w:t xml:space="preserve">  - carenza di risorse finanziarie</w:t>
        <w:br/>
        <w:t xml:space="preserve">  - carenza di competenze</w:t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sono previste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è prevista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neutrale sulle relazioni con i cittadini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>Nel PTPCT o nella sezione Anticorruzione e Trasparenza del PIAOi n esame non sono state programmate misure specifiche. Le ragioni alla base della mancata programmazione delle misure specifiche sono di seguito riportate:  Ricorso a regolamenti e procedure interne</w:t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 xml:space="preserve"> - Non si applica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  <w:tc>
          <w:p>
            <w:r>
              <w:t xml:space="preserve"> - 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rimasta invariata</w:t>
        <w:br/>
        <w:t xml:space="preserve">  - la capacità di individuare e far emergere situazioni di rischio corruttivo e di intervenire con adeguati rimedi  è rimasta invariata</w:t>
        <w:br/>
        <w:t xml:space="preserve">  - la reputazione dell'ente  è rimasta invariata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 Non si rilevano scostamenti tra le misure attuate e le misure previste dal piano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ragioni:Il ruolo del RPCT rileva la corrispondenza tra la messa in atto e la gestione del piano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Non sono state programmate misure specifiche di controllo.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Non sono state programmate misure specifiche di trasparenza.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Non sono state programmate misure specifiche di semplificazione.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